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B6D2" w14:textId="77777777" w:rsidR="003759DD" w:rsidRPr="003759DD" w:rsidRDefault="003759DD" w:rsidP="003759DD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</w:pPr>
      <w:r w:rsidRPr="003759DD">
        <w:fldChar w:fldCharType="begin"/>
      </w:r>
      <w:r w:rsidRPr="003759DD">
        <w:instrText>HYPERLINK "https://www.ptovaras.cl/departamento/departamento-de-organizaciones-comunitarias" \l "collapseTwo"</w:instrText>
      </w:r>
      <w:r w:rsidRPr="003759DD">
        <w:fldChar w:fldCharType="separate"/>
      </w:r>
      <w:r w:rsidRPr="003759DD"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  <w:t>Elección Directiva Definitiva</w:t>
      </w:r>
      <w:r w:rsidRPr="003759DD"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  <w:fldChar w:fldCharType="end"/>
      </w:r>
      <w:r w:rsidRPr="003759DD"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  <w:t xml:space="preserve"> </w:t>
      </w:r>
    </w:p>
    <w:p w14:paraId="50E281BC" w14:textId="77777777" w:rsidR="003759DD" w:rsidRPr="003759DD" w:rsidRDefault="003759DD" w:rsidP="003759DD">
      <w:pPr>
        <w:spacing w:after="0" w:line="240" w:lineRule="auto"/>
        <w:outlineLvl w:val="3"/>
        <w:rPr>
          <w:rFonts w:ascii="Poppins" w:eastAsia="Times New Roman" w:hAnsi="Poppins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</w:pPr>
    </w:p>
    <w:p w14:paraId="1C97F56C" w14:textId="77777777" w:rsidR="003759DD" w:rsidRPr="003759DD" w:rsidRDefault="003759DD" w:rsidP="003759DD">
      <w:pPr>
        <w:spacing w:after="0" w:line="240" w:lineRule="auto"/>
        <w:jc w:val="both"/>
        <w:outlineLvl w:val="3"/>
        <w:rPr>
          <w:rFonts w:ascii="Argentum Sans Light" w:eastAsia="Times New Roman" w:hAnsi="Argentum Sans Light" w:cs="Poppins"/>
          <w:sz w:val="24"/>
          <w:szCs w:val="24"/>
          <w:bdr w:val="none" w:sz="0" w:space="0" w:color="auto" w:frame="1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bdr w:val="none" w:sz="0" w:space="0" w:color="auto" w:frame="1"/>
          <w:lang w:eastAsia="es-CL"/>
        </w:rPr>
        <w:t xml:space="preserve">Una vez obtenida la documentación que indica la obtención de personalidad jurídica (certificado provisorio y decreto exento), se debe sacar el rol tributario de la organización (en oficina de SII), para así poder inscribirla en la plataforma del Registro Civil, y se le asignen su </w:t>
      </w:r>
      <w:proofErr w:type="spellStart"/>
      <w:r w:rsidRPr="003759DD">
        <w:rPr>
          <w:rFonts w:ascii="Argentum Sans Light" w:eastAsia="Times New Roman" w:hAnsi="Argentum Sans Light" w:cs="Poppins"/>
          <w:sz w:val="24"/>
          <w:szCs w:val="24"/>
          <w:bdr w:val="none" w:sz="0" w:space="0" w:color="auto" w:frame="1"/>
          <w:lang w:eastAsia="es-CL"/>
        </w:rPr>
        <w:t>N°</w:t>
      </w:r>
      <w:proofErr w:type="spellEnd"/>
      <w:r w:rsidRPr="003759DD">
        <w:rPr>
          <w:rFonts w:ascii="Argentum Sans Light" w:eastAsia="Times New Roman" w:hAnsi="Argentum Sans Light" w:cs="Poppins"/>
          <w:sz w:val="24"/>
          <w:szCs w:val="24"/>
          <w:bdr w:val="none" w:sz="0" w:space="0" w:color="auto" w:frame="1"/>
          <w:lang w:eastAsia="es-CL"/>
        </w:rPr>
        <w:t xml:space="preserve"> de Personalidad Jurídica, luego de esto se debe realizar el siguiente tramite </w:t>
      </w:r>
    </w:p>
    <w:p w14:paraId="0CAEE7D6" w14:textId="77777777" w:rsidR="003759DD" w:rsidRPr="003759DD" w:rsidRDefault="003759DD" w:rsidP="003759DD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</w:pPr>
    </w:p>
    <w:p w14:paraId="2D00A7AD" w14:textId="77777777" w:rsidR="003759DD" w:rsidRPr="003759DD" w:rsidRDefault="003759DD" w:rsidP="003759DD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</w:pPr>
    </w:p>
    <w:p w14:paraId="0D2D74C3" w14:textId="77777777" w:rsidR="003759DD" w:rsidRPr="003759DD" w:rsidRDefault="003759DD" w:rsidP="003759DD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  <w:t>Comisión Electoral</w:t>
      </w:r>
    </w:p>
    <w:p w14:paraId="23E5194F" w14:textId="77777777" w:rsidR="003759DD" w:rsidRPr="003759DD" w:rsidRDefault="003759DD" w:rsidP="003759DD">
      <w:pPr>
        <w:spacing w:after="0" w:line="240" w:lineRule="auto"/>
        <w:outlineLvl w:val="3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bdr w:val="none" w:sz="0" w:space="0" w:color="auto" w:frame="1"/>
          <w:lang w:eastAsia="es-CL"/>
        </w:rPr>
      </w:pPr>
    </w:p>
    <w:p w14:paraId="2708B595" w14:textId="77777777" w:rsidR="003759DD" w:rsidRPr="003759DD" w:rsidRDefault="003759DD" w:rsidP="003759DD">
      <w:pPr>
        <w:pStyle w:val="Prrafodelista"/>
        <w:numPr>
          <w:ilvl w:val="0"/>
          <w:numId w:val="2"/>
        </w:num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Se debe realizar una reunión extraordinaria, y en conjunto con los socios </w:t>
      </w: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constituyentes</w:t>
      </w: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se debe escoger 3 personas que serán parte de la comisión electoral y 6 personas que serán los candidatos para la directiva definitiva, la cual tendrá como duración 3 años, según modificación ley 20.500.</w:t>
      </w:r>
    </w:p>
    <w:p w14:paraId="142ACC5B" w14:textId="77777777" w:rsidR="003759DD" w:rsidRPr="003759DD" w:rsidRDefault="003759DD" w:rsidP="003759DD">
      <w:pPr>
        <w:pStyle w:val="Prrafodelista"/>
        <w:numPr>
          <w:ilvl w:val="0"/>
          <w:numId w:val="2"/>
        </w:num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Una vez hayan escogido la comisión electoral, deben recopilar la documentación solicitada e informar al municipio, en los </w:t>
      </w: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5 días hábiles</w:t>
      </w: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siguiente de la reunión.</w:t>
      </w:r>
    </w:p>
    <w:p w14:paraId="48EE6D84" w14:textId="77777777" w:rsidR="003759DD" w:rsidRPr="003759DD" w:rsidRDefault="003759DD" w:rsidP="003759DD">
      <w:pPr>
        <w:pStyle w:val="Prrafodelista"/>
        <w:numPr>
          <w:ilvl w:val="0"/>
          <w:numId w:val="2"/>
        </w:num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>Para sacar la fecha de las votaciones deberán considerar 20 días hábiles a contar de la fecha de entrega de la documentación al municipio en oficina de partes.</w:t>
      </w:r>
    </w:p>
    <w:p w14:paraId="7DEC2C1A" w14:textId="77777777" w:rsidR="003759DD" w:rsidRPr="003759DD" w:rsidRDefault="003759DD" w:rsidP="003759DD">
      <w:pPr>
        <w:pStyle w:val="Prrafodelista"/>
        <w:numPr>
          <w:ilvl w:val="0"/>
          <w:numId w:val="2"/>
        </w:num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>para informar al secretario municipal se deberá presentar lo siguiente:</w:t>
      </w:r>
    </w:p>
    <w:p w14:paraId="6864E8C4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bookmarkStart w:id="0" w:name="_Hlk126142078"/>
      <w:bookmarkStart w:id="1" w:name="_Hlk126142096"/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Formato Acta comisión electoral (La cual puede retirar en oo.cc o descargarla desde la página web municipal</w:t>
      </w:r>
      <w:bookmarkEnd w:id="0"/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)</w:t>
      </w:r>
    </w:p>
    <w:bookmarkEnd w:id="1"/>
    <w:p w14:paraId="024282D8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 xml:space="preserve">Copia libro Registro de socios actualizado </w:t>
      </w:r>
    </w:p>
    <w:p w14:paraId="4CA25190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Libro de Acta (registrando el inicio del proceso eleccionario), firmado por la comisión electoral</w:t>
      </w:r>
    </w:p>
    <w:p w14:paraId="0A1FEAE4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 xml:space="preserve">Listado de asistencia </w:t>
      </w:r>
    </w:p>
    <w:p w14:paraId="0582F4B0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Certificado de antecedentes de las 3 personas de la comisión electoral y de las 6 personas que se postularan como candidatos.</w:t>
      </w:r>
    </w:p>
    <w:p w14:paraId="0BF1BED6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Fotocopia de cedula de identidad de las 3 personas de la comisión electoral y de las 6 personas que se postularan como candidatos.</w:t>
      </w:r>
    </w:p>
    <w:p w14:paraId="5432C260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 xml:space="preserve">Carta conductora dirigida al secretario Municipal </w:t>
      </w:r>
    </w:p>
    <w:p w14:paraId="3A57C447" w14:textId="77777777" w:rsidR="003759DD" w:rsidRPr="003759DD" w:rsidRDefault="003759DD" w:rsidP="003759DD">
      <w:p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lastRenderedPageBreak/>
        <w:t xml:space="preserve">Esta información será revisada por el secretario municipal y será publicada en la página Web municipal informando las fechas, horario, lugar de elecciones y sus candidatos por un periodo de 15 días, antes de las fechas de las elecciones </w:t>
      </w:r>
    </w:p>
    <w:p w14:paraId="5411A4BE" w14:textId="77777777" w:rsidR="003759DD" w:rsidRPr="003759DD" w:rsidRDefault="003759DD" w:rsidP="003759DD">
      <w:p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43E9FBC4" w14:textId="77777777" w:rsidR="003759DD" w:rsidRPr="003759DD" w:rsidRDefault="003759DD" w:rsidP="003759DD">
      <w:pPr>
        <w:spacing w:after="225" w:line="360" w:lineRule="atLeast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026C79E1" w14:textId="77777777" w:rsidR="003759DD" w:rsidRPr="003759DD" w:rsidRDefault="003759DD" w:rsidP="003759DD">
      <w:pPr>
        <w:spacing w:after="0" w:line="360" w:lineRule="atLeast"/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lang w:eastAsia="es-CL"/>
        </w:rPr>
        <w:t>Elecciones</w:t>
      </w:r>
    </w:p>
    <w:p w14:paraId="168C60E4" w14:textId="77777777" w:rsidR="003759DD" w:rsidRPr="003759DD" w:rsidRDefault="003759DD" w:rsidP="003759DD">
      <w:pPr>
        <w:spacing w:after="0" w:line="360" w:lineRule="atLeast"/>
        <w:rPr>
          <w:rFonts w:ascii="Poppins" w:eastAsia="Times New Roman" w:hAnsi="Poppins" w:cs="Poppins"/>
          <w:b/>
          <w:bCs/>
          <w:sz w:val="24"/>
          <w:szCs w:val="24"/>
          <w:u w:val="single"/>
          <w:lang w:eastAsia="es-CL"/>
        </w:rPr>
      </w:pPr>
    </w:p>
    <w:p w14:paraId="226DCE7E" w14:textId="77777777" w:rsidR="003759DD" w:rsidRPr="003759DD" w:rsidRDefault="003759DD" w:rsidP="003759DD">
      <w:pPr>
        <w:spacing w:after="0" w:line="360" w:lineRule="atLeast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Una vez que se haya llevado a cabo la elección del directorio, la comisión electoral tendrá un plazo de </w:t>
      </w: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5 días hábiles</w:t>
      </w:r>
      <w:r w:rsidRPr="003759DD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a contar de las fechas de las elecciones y deberá entregar la siguiente documentación en oficina de partes, (previa revisión en organizaciones comunitarias)</w:t>
      </w:r>
    </w:p>
    <w:p w14:paraId="69978313" w14:textId="77777777" w:rsidR="003759DD" w:rsidRPr="003759DD" w:rsidRDefault="003759DD" w:rsidP="003759DD">
      <w:pPr>
        <w:spacing w:after="0" w:line="360" w:lineRule="atLeast"/>
        <w:ind w:left="360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748C5ECB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Formato Acta de elecciones y listado de asistencia (La cual puede retirar en oo.cc o descargarla desde la página web municipal)</w:t>
      </w:r>
    </w:p>
    <w:p w14:paraId="481D8B5B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Libro de actas, con la cantidad de voto de cada candidato y firmado por la comisión electoral</w:t>
      </w:r>
    </w:p>
    <w:p w14:paraId="3077F468" w14:textId="77777777" w:rsidR="003759DD" w:rsidRPr="003759DD" w:rsidRDefault="003759DD" w:rsidP="003759DD">
      <w:pPr>
        <w:numPr>
          <w:ilvl w:val="1"/>
          <w:numId w:val="1"/>
        </w:numPr>
        <w:spacing w:after="225" w:line="360" w:lineRule="atLeast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3759DD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Certificados antecedentes</w:t>
      </w:r>
    </w:p>
    <w:p w14:paraId="44D68099" w14:textId="77777777" w:rsidR="0000412D" w:rsidRDefault="0000412D"/>
    <w:sectPr w:rsidR="0000412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6CDB" w14:textId="77777777" w:rsidR="005216C1" w:rsidRDefault="005216C1" w:rsidP="000E0C44">
      <w:pPr>
        <w:spacing w:after="0" w:line="240" w:lineRule="auto"/>
      </w:pPr>
      <w:r>
        <w:separator/>
      </w:r>
    </w:p>
  </w:endnote>
  <w:endnote w:type="continuationSeparator" w:id="0">
    <w:p w14:paraId="354AB1A4" w14:textId="77777777" w:rsidR="005216C1" w:rsidRDefault="005216C1" w:rsidP="000E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D2E9" w14:textId="77777777" w:rsidR="005216C1" w:rsidRDefault="005216C1" w:rsidP="000E0C44">
      <w:pPr>
        <w:spacing w:after="0" w:line="240" w:lineRule="auto"/>
      </w:pPr>
      <w:r>
        <w:separator/>
      </w:r>
    </w:p>
  </w:footnote>
  <w:footnote w:type="continuationSeparator" w:id="0">
    <w:p w14:paraId="3AB38A1D" w14:textId="77777777" w:rsidR="005216C1" w:rsidRDefault="005216C1" w:rsidP="000E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1F11" w14:textId="19C643B1" w:rsidR="000E0C44" w:rsidRDefault="000E0C44">
    <w:pPr>
      <w:pStyle w:val="Encabezado"/>
    </w:pPr>
    <w:r>
      <w:rPr>
        <w:noProof/>
        <w14:ligatures w14:val="standardContextual"/>
      </w:rPr>
      <w:drawing>
        <wp:inline distT="0" distB="0" distL="0" distR="0" wp14:anchorId="661F8C81" wp14:editId="3C73E103">
          <wp:extent cx="1952625" cy="823325"/>
          <wp:effectExtent l="0" t="0" r="0" b="0"/>
          <wp:docPr id="20730480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48008" name="Imagen 2073048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1" cy="82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F7"/>
    <w:multiLevelType w:val="multilevel"/>
    <w:tmpl w:val="68645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37937"/>
    <w:multiLevelType w:val="hybridMultilevel"/>
    <w:tmpl w:val="F36630A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60172">
    <w:abstractNumId w:val="0"/>
  </w:num>
  <w:num w:numId="2" w16cid:durableId="1881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F2"/>
    <w:rsid w:val="0000412D"/>
    <w:rsid w:val="000E0C44"/>
    <w:rsid w:val="000F2FF2"/>
    <w:rsid w:val="003759DD"/>
    <w:rsid w:val="005216C1"/>
    <w:rsid w:val="006F20B6"/>
    <w:rsid w:val="007A4888"/>
    <w:rsid w:val="00A06DBB"/>
    <w:rsid w:val="00A33120"/>
    <w:rsid w:val="00D76588"/>
    <w:rsid w:val="00F40E3B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4F470B"/>
  <w15:chartTrackingRefBased/>
  <w15:docId w15:val="{90E2DDE1-D8A1-4DA3-82B5-D3AFAF07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9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C4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0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C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Astudillo Llanos</dc:creator>
  <cp:keywords/>
  <dc:description/>
  <cp:lastModifiedBy>Sebastian Campbell Gallardo</cp:lastModifiedBy>
  <cp:revision>5</cp:revision>
  <cp:lastPrinted>2025-11-14T14:00:00Z</cp:lastPrinted>
  <dcterms:created xsi:type="dcterms:W3CDTF">2024-04-03T13:56:00Z</dcterms:created>
  <dcterms:modified xsi:type="dcterms:W3CDTF">2026-03-30T19:47:00Z</dcterms:modified>
</cp:coreProperties>
</file>